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left="9639" w:right="-456" w:firstLine="0"/>
        <w:jc w:val="center"/>
        <w:spacing w:before="0" w:after="0"/>
        <w:widowControl w:val="off"/>
        <w:rPr>
          <w:sz w:val="21"/>
          <w:szCs w:val="21"/>
        </w:rPr>
      </w:pPr>
      <w:r>
        <w:rPr>
          <w:sz w:val="21"/>
          <w:szCs w:val="21"/>
        </w:rPr>
        <w:t xml:space="preserve">         Приложение № 1 к приказу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ind w:left="9639" w:right="-456" w:firstLine="540"/>
        <w:jc w:val="center"/>
        <w:widowControl w:val="off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ind w:right="-456"/>
        <w:jc w:val="both"/>
        <w:spacing w:before="260" w:after="0"/>
        <w:widowControl w:val="off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Карта комплаенс–рисков Министерства промышленности и торговли Удмуртской Республики (далее – Министерство)</w:t>
      </w: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tbl>
      <w:tblPr>
        <w:tblW w:w="14100" w:type="dxa"/>
        <w:tblInd w:w="17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A0" w:firstRow="1" w:lastRow="0" w:firstColumn="1" w:lastColumn="0" w:noHBand="1" w:noVBand="1"/>
      </w:tblPr>
      <w:tblGrid>
        <w:gridCol w:w="449"/>
        <w:gridCol w:w="2371"/>
        <w:gridCol w:w="3285"/>
        <w:gridCol w:w="3089"/>
        <w:gridCol w:w="3166"/>
        <w:gridCol w:w="1739"/>
      </w:tblGrid>
      <w:tr>
        <w:tblPrEx/>
        <w:trPr>
          <w:trHeight w:val="20"/>
        </w:trPr>
        <w:tc>
          <w:tcPr>
            <w:tcW w:w="449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№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W w:w="2371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Бизнес-цель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Описание комплаенс-риска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Причины и условия возникновения комплаенс- риска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3166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Описание возможных последствий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1739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Уровень риска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49" w:type="dxa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1.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W w:w="2371" w:type="dxa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Осуществление контрольной и контрольно-надзорной деятельности </w:t>
            </w:r>
            <w:r>
              <w:rPr>
                <w:rFonts w:eastAsia="Times New Roman" w:cs="Times New Roman"/>
                <w:i/>
                <w:sz w:val="21"/>
                <w:szCs w:val="21"/>
                <w:lang w:val="ru-RU" w:eastAsia="ru-RU" w:bidi="ar-SA"/>
              </w:rPr>
              <w:t xml:space="preserve">(нарушение статьи 15 Федерального закона от 26.07.2006 № 135-ФЗ «О защите конкуренции (далее – Федеральный закон № 135-ФЗ)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3285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8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Введение ограничений, необоснованное препятствование осуществлению деятельности;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8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Проведение проверок по вопросам, не относящимся к компетенции;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8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Нарушение сроков осуществления контрольных мероприятий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Недостаточный уровень внутреннего контроля.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Недостаточная координация со стороны руководства.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Недостаточная квалификация и опыт сотрудников.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Высокая загруженность сотрудников.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Наличие конфликта интересов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 xml:space="preserve">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Поручения руководства.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4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Создание дискриминационных или преимущественных условий для отдельных категорий хозяйствующих субъектов;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4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Вероятность выдачи Министерству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39" w:type="dxa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Высокий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1558"/>
        </w:trPr>
        <w:tc>
          <w:tcPr>
            <w:tcW w:w="449" w:type="dxa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2.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W w:w="2371" w:type="dxa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Предоставление государственной услуги </w:t>
            </w:r>
            <w:r>
              <w:rPr>
                <w:rFonts w:eastAsia="Times New Roman" w:cs="Times New Roman"/>
                <w:i/>
                <w:sz w:val="21"/>
                <w:szCs w:val="21"/>
                <w:lang w:val="ru-RU" w:eastAsia="ru-RU" w:bidi="ar-SA"/>
              </w:rPr>
              <w:t xml:space="preserve">(нарушение статьи 15 Федерального закона № 135-ФЗ)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3285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Нарушение порядка предоставления государственной услуги;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7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Взимание платы за предоставление государственной услуги, если такая плата не предусмотрена действующим законодательством;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7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Предъявление требований о предоставлении документов, информация или осуществление которых не предусмотрено действующим законодательством;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7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Нарушение сроков предоставления государственной услуги;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7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Необоснованный отказ в предоставлении государственной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Недостаточный уровень внутреннего контроля.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Недостаточная координация со стороны руководства.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Недостаточная квалификация и опыт сотрудников.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Высокая загруженность сотрудников.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Наличие конфликта интересов.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Отсутствие регламента предоставления конкретной государственной услуги.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Несоблюдение требований законодательства Российской Федерации о предоставлении государственных услуг.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Поручения руководства.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5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Создание дискриминационных или преимущественных условий для отдельных категорий хозяйствующих субъектов;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5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Вероятность выдачи Министерству предупреждения и возбуждения в отношении него дела о нарушении антимонопольного законодательства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39" w:type="dxa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Существенный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824"/>
        <w:ind w:left="9639" w:right="-456" w:firstLine="540"/>
        <w:jc w:val="center"/>
        <w:spacing w:before="0" w:after="0"/>
        <w:widowControl w:val="off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ind w:left="0" w:right="-456" w:firstLine="0"/>
        <w:jc w:val="center"/>
        <w:spacing w:before="0" w:after="0"/>
        <w:widowControl w:val="off"/>
        <w:rPr>
          <w:sz w:val="21"/>
          <w:szCs w:val="21"/>
          <w:highlight w:val="none"/>
        </w:rPr>
      </w:pPr>
      <w:r>
        <w:rPr>
          <w:sz w:val="21"/>
          <w:szCs w:val="21"/>
          <w:lang w:bidi="ru-RU"/>
        </w:rPr>
        <w:t xml:space="preserve">______________________</w:t>
      </w: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</w:p>
    <w:p>
      <w:pPr>
        <w:ind w:left="0" w:right="-456" w:firstLine="0"/>
        <w:jc w:val="left"/>
        <w:spacing w:before="0" w:after="0"/>
        <w:widowControl w:val="off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</w:p>
    <w:p>
      <w:pPr>
        <w:pStyle w:val="824"/>
        <w:ind w:left="9639" w:right="-456" w:firstLine="540"/>
        <w:jc w:val="left"/>
        <w:spacing w:before="0" w:after="0"/>
        <w:widowControl w:val="off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</w:p>
    <w:p>
      <w:pPr>
        <w:pStyle w:val="824"/>
        <w:ind w:left="9639" w:right="-456" w:firstLine="540"/>
        <w:jc w:val="center"/>
        <w:spacing w:before="0" w:after="0"/>
        <w:widowControl w:val="off"/>
        <w:rPr>
          <w:sz w:val="21"/>
          <w:szCs w:val="21"/>
          <w:highlight w:val="none"/>
        </w:rPr>
      </w:pPr>
      <w:r>
        <w:rPr>
          <w:sz w:val="21"/>
          <w:szCs w:val="21"/>
        </w:rPr>
        <w:t xml:space="preserve">Приложение № 2 к приказу</w:t>
      </w: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</w:p>
    <w:p>
      <w:pPr>
        <w:pStyle w:val="82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План мероприятий («дорожная карта») по снижению комплаенс-рисков </w:t>
      </w: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pStyle w:val="82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Министерства промышленности и торговли Удмуртской Республики (далее – Министерство)</w:t>
        <w:br/>
      </w: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tbl>
      <w:tblPr>
        <w:tblW w:w="5000" w:type="pct"/>
        <w:jc w:val="center"/>
        <w:tblInd w:w="0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6A0" w:firstRow="1" w:lastRow="0" w:firstColumn="1" w:lastColumn="0" w:noHBand="1" w:noVBand="1"/>
      </w:tblPr>
      <w:tblGrid>
        <w:gridCol w:w="414"/>
        <w:gridCol w:w="2585"/>
        <w:gridCol w:w="2328"/>
        <w:gridCol w:w="3754"/>
        <w:gridCol w:w="1502"/>
        <w:gridCol w:w="1932"/>
        <w:gridCol w:w="1781"/>
      </w:tblGrid>
      <w:tr>
        <w:tblPrEx/>
        <w:trPr>
          <w:trHeight w:val="20"/>
        </w:trPr>
        <w:tc>
          <w:tcPr>
            <w:shd w:val="clear" w:color="auto" w:fill="auto"/>
            <w:tcW w:w="414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№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2585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Бизнес-цель (решаемая задача)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2328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Описание комплаенс-риска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3754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Мероприятия по воздействию на комплаенс-риск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Срок исполнения мероприятия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1932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Ответственное лицо (должностное лицо, должность с указанием структурного подразделения)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1781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Описание результата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4" w:type="dxa"/>
            <w:vMerge w:val="restart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1.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2585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Осуществление контрольной и контрольно-надзорной деятельности </w:t>
            </w:r>
            <w:r>
              <w:rPr>
                <w:rFonts w:eastAsia="Times New Roman" w:cs="Times New Roman"/>
                <w:i/>
                <w:sz w:val="21"/>
                <w:szCs w:val="21"/>
                <w:lang w:val="ru-RU" w:eastAsia="ru-RU" w:bidi="ar-SA"/>
              </w:rPr>
              <w:t xml:space="preserve">(нарушение статьи 15 Федерального закона № 135-ФЗ)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2328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1. Введение ограничений, необоснованное препятствование осуществлению деятельности.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2. Проведение проверок по вопросам, не относящимся к компетенции.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3. Нарушение сроков осуществления контрольных мероприятий.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3754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  <w:lang w:bidi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  <w:t xml:space="preserve"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за предшествующие 3 года)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</w:p>
          <w:p>
            <w:pPr>
              <w:pStyle w:val="902"/>
              <w:numPr>
                <w:ilvl w:val="0"/>
                <w:numId w:val="11"/>
              </w:numPr>
              <w:contextualSpacing/>
              <w:ind w:left="0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Информирование министра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Постоянно (в течение года)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932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Начальник Управления лицензирования и контроля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 w:bidi="ar-SA"/>
              </w:rPr>
              <w:t xml:space="preserve">Начальник Управления торгово-закупочной деятельности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781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Снижение уровня комплаенс-риска при осуществлении контрольной и контрольно-надзорной деятельности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4" w:type="dxa"/>
            <w:vMerge w:val="continue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2585" w:type="dxa"/>
            <w:vMerge w:val="continue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2328" w:type="dxa"/>
            <w:vMerge w:val="continue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3754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1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  <w:lang w:bidi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  <w:t xml:space="preserve">Предоставление инфор</w:t>
            </w:r>
            <w:r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  <w:t xml:space="preserve">мации для формирования доклада об антимонопольном комплаенсе в соответствии с пунктом 30 Приказа Министерства от 29.08.2019 № 71 «Об организации системы внутреннего обеспечения соответствия требованиям антимонопольного законодательства в Министерстве промы</w:t>
            </w:r>
            <w:r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  <w:t xml:space="preserve">шленности и торговли Удмуртской Республики» (вместе с «Положением об организации системы внутреннего обеспечения соответствия требованиям антимонопольного законодательства в Министерстве промышленности и торговли Удмуртской Республики» (далее – Положение).</w:t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  <w:lang w:bidi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  <w:lang w:bidi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  <w:lang w:val="ru-RU" w:bidi="ru-R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  <w:lang w:val="ru-RU" w:bidi="ru-RU"/>
              </w:rPr>
            </w:r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 позднее 31 января года, следующего за отчетным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932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20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781" w:type="dxa"/>
            <w:vMerge w:val="continue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bookmarkStart w:id="1" w:name="_Hlk28533541"/>
            <w:r/>
            <w:bookmarkEnd w:id="1"/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4" w:type="dxa"/>
            <w:vMerge w:val="restart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2.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2585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Предоставление государственной услуги </w:t>
            </w:r>
            <w:r>
              <w:rPr>
                <w:rFonts w:eastAsia="Times New Roman" w:cs="Times New Roman"/>
                <w:i/>
                <w:sz w:val="21"/>
                <w:szCs w:val="21"/>
                <w:lang w:val="ru-RU" w:eastAsia="ru-RU" w:bidi="ar-SA"/>
              </w:rPr>
              <w:t xml:space="preserve">(нарушение статьи 15 Федерального закона № 135-ФЗ)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2328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1.  Нарушение порядка предоставления государственной услуги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2. Взимание платы за предоставление государственной услуги, если такая плата не предусмотрена действующим законодательством.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3. Предъявление требований о предоставлении документов, информация или осуществление которых не предусмотрено действующим законодательством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4. Нарушение сроков предоставления государственной услуги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contextualSpacing/>
              <w:ind w:left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5. Необоснованный отказ в предоставлении государственной услуги.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3754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9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  <w:t xml:space="preserve"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за предшествующие 3 года)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9"/>
              </w:numPr>
              <w:contextualSpacing/>
              <w:ind w:left="0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Информирование министра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Постоянно (в течение года)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932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Начальник Управления лицензирования и контроля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1781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Снижение уровня комплаенс-риска при предоставлении государственных услуг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4" w:type="dxa"/>
            <w:vMerge w:val="restart"/>
            <w:textDirection w:val="lrTb"/>
            <w:noWrap w:val="false"/>
          </w:tcPr>
          <w:p>
            <w:pPr>
              <w:pStyle w:val="824"/>
              <w:jc w:val="center"/>
              <w:spacing w:before="0" w:after="0" w:line="240" w:lineRule="auto"/>
              <w:widowControl w:val="off"/>
              <w:rPr>
                <w:b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val="ru-RU" w:eastAsia="ru-RU" w:bidi="ar-SA"/>
              </w:rPr>
              <w:t xml:space="preserve">3.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2585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Недопущение конфликта интересов в деятельности служащих Министерства </w:t>
            </w:r>
            <w:r>
              <w:rPr>
                <w:rFonts w:eastAsia="Times New Roman" w:cs="Times New Roman"/>
                <w:i/>
                <w:sz w:val="21"/>
                <w:szCs w:val="21"/>
                <w:lang w:val="ru-RU" w:eastAsia="ru-RU" w:bidi="ar-SA"/>
              </w:rPr>
              <w:t xml:space="preserve">(нарушение статьи 15 Федерального закона № 135-ФЗ)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2328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3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Принятие мер при поступлении информации о конфликте интересов, служебные проверки не проводятся.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3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Служебные проверки проводятся при поступлении информации о конфликте интересов, но не разрабатываются предложения по устранению нарушений, информация не доводится до сотрудников Министерства.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3754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Style w:val="869"/>
                <w:rFonts w:eastAsia="Calibri" w:eastAsiaTheme="minorHAnsi"/>
                <w:sz w:val="21"/>
                <w:szCs w:val="21"/>
              </w:rPr>
            </w:pP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Проведение служебных проверок </w:t>
            </w: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при поступлении информации о конфликте интересов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.</w:t>
            </w:r>
            <w:r>
              <w:rPr>
                <w:rStyle w:val="869"/>
                <w:rFonts w:eastAsia="Calibri" w:eastAsiaTheme="minorHAnsi"/>
                <w:sz w:val="21"/>
                <w:szCs w:val="21"/>
              </w:rPr>
            </w:r>
            <w:r>
              <w:rPr>
                <w:rStyle w:val="869"/>
                <w:rFonts w:eastAsia="Calibri" w:eastAsiaTheme="minorHAnsi"/>
                <w:sz w:val="21"/>
                <w:szCs w:val="21"/>
              </w:rPr>
            </w:r>
          </w:p>
          <w:p>
            <w:pPr>
              <w:pStyle w:val="902"/>
              <w:numPr>
                <w:ilvl w:val="0"/>
                <w:numId w:val="1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</w:pP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Разработка предложений по исключению конфликта интересов в деятельности служащих Министерства.</w:t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</w:r>
          </w:p>
          <w:p>
            <w:pPr>
              <w:pStyle w:val="902"/>
              <w:numPr>
                <w:ilvl w:val="0"/>
                <w:numId w:val="1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  <w:t xml:space="preserve">Информирование министра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Постоянно (в течение года)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932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Начальник Управления финансовой, правовой и кадровой работы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1781" w:type="dxa"/>
            <w:vMerge w:val="restart"/>
            <w:textDirection w:val="lrTb"/>
            <w:noWrap w:val="false"/>
          </w:tcPr>
          <w:p>
            <w:pPr>
              <w:pStyle w:val="824"/>
              <w:jc w:val="left"/>
              <w:spacing w:before="0" w:after="0" w:line="240" w:lineRule="auto"/>
              <w:widowControl w:val="off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val="ru-RU" w:eastAsia="ru-RU" w:bidi="ar-SA"/>
              </w:rPr>
              <w:t xml:space="preserve">Снижение уровня комплаенс-риска во всех направлениях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4" w:type="dxa"/>
            <w:vMerge w:val="continue"/>
            <w:textDirection w:val="lrTb"/>
            <w:noWrap w:val="false"/>
          </w:tcPr>
          <w:p>
            <w:pPr>
              <w:pStyle w:val="824"/>
              <w:jc w:val="center"/>
              <w:spacing w:before="0" w:after="0"/>
              <w:widowControl w:val="off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2585" w:type="dxa"/>
            <w:vMerge w:val="continue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</w:pPr>
            <w:r>
              <w:rPr>
                <w:rFonts w:eastAsia="Arial Unicode MS"/>
                <w:sz w:val="21"/>
                <w:szCs w:val="21"/>
                <w:shd w:val="clear" w:color="auto" w:fill="ffffff"/>
              </w:rPr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</w:r>
            <w:r>
              <w:rPr>
                <w:rStyle w:val="869"/>
                <w:rFonts w:eastAsia="Arial Unicode MS"/>
                <w:sz w:val="21"/>
                <w:szCs w:val="21"/>
                <w:shd w:val="clear" w:color="auto" w:fill="ffffff"/>
              </w:rPr>
            </w:r>
          </w:p>
        </w:tc>
        <w:tc>
          <w:tcPr>
            <w:shd w:val="clear" w:color="auto" w:fill="auto"/>
            <w:tcW w:w="2328" w:type="dxa"/>
            <w:vMerge w:val="continue"/>
            <w:textDirection w:val="lrTb"/>
            <w:noWrap w:val="false"/>
          </w:tcPr>
          <w:p>
            <w:pPr>
              <w:pStyle w:val="902"/>
              <w:numPr>
                <w:ilvl w:val="0"/>
                <w:numId w:val="0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3754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2"/>
              </w:numPr>
              <w:contextualSpacing/>
              <w:ind w:lef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  <w:lang w:bidi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  <w:t xml:space="preserve">Предоставление информации для формирования доклада об антимонопольном комплаенсе в соответствии с пунктом 30 Положения.</w:t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902"/>
              <w:contextualSpacing/>
              <w:ind w:left="0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bidi="ar-SA"/>
              </w:rPr>
              <w:t xml:space="preserve">Не позднее 31 января года, следующего за отчетным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auto"/>
            <w:tcW w:w="1932" w:type="dxa"/>
            <w:vMerge w:val="continue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shd w:val="clear" w:color="auto" w:fill="auto"/>
            <w:tcW w:w="1781" w:type="dxa"/>
            <w:vMerge w:val="continue"/>
            <w:textDirection w:val="lrTb"/>
            <w:noWrap w:val="false"/>
          </w:tcPr>
          <w:p>
            <w:pPr>
              <w:pStyle w:val="824"/>
              <w:jc w:val="left"/>
              <w:spacing w:before="0" w:after="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824"/>
        <w:jc w:val="center"/>
        <w:spacing w:line="240" w:lineRule="auto"/>
        <w:rPr>
          <w:sz w:val="21"/>
          <w:szCs w:val="21"/>
          <w:lang w:bidi="ru-RU"/>
        </w:rPr>
      </w:pPr>
      <w:r>
        <w:rPr>
          <w:sz w:val="21"/>
          <w:szCs w:val="21"/>
          <w:lang w:bidi="ru-RU"/>
        </w:rPr>
        <w:t xml:space="preserve">______________________</w:t>
      </w:r>
      <w:r>
        <w:rPr>
          <w:sz w:val="21"/>
          <w:szCs w:val="21"/>
          <w:lang w:bidi="ru-RU"/>
        </w:rPr>
      </w:r>
      <w:r>
        <w:rPr>
          <w:sz w:val="21"/>
          <w:szCs w:val="21"/>
          <w:lang w:bidi="ru-RU"/>
        </w:rPr>
      </w:r>
    </w:p>
    <w:p>
      <w:pPr>
        <w:pStyle w:val="824"/>
        <w:ind w:left="0" w:right="-456" w:firstLine="0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ind w:left="9639" w:right="-456" w:firstLine="0"/>
        <w:rPr>
          <w:sz w:val="21"/>
          <w:szCs w:val="21"/>
        </w:rPr>
      </w:pPr>
      <w:r>
        <w:rPr>
          <w:sz w:val="21"/>
          <w:szCs w:val="21"/>
        </w:rPr>
      </w:r>
      <w:bookmarkStart w:id="3" w:name="bookmark1"/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ind w:left="9639" w:right="-456" w:firstLine="540"/>
        <w:widowControl w:val="off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  <w:t xml:space="preserve">Приложение № 3 к приказу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numPr>
          <w:ilvl w:val="0"/>
          <w:numId w:val="0"/>
        </w:numPr>
        <w:ind w:left="0" w:right="40" w:firstLine="0"/>
        <w:keepLines/>
        <w:keepNext/>
        <w:spacing w:line="324" w:lineRule="exact"/>
        <w:widowControl w:val="off"/>
        <w:rPr>
          <w:b/>
          <w:bCs/>
          <w:sz w:val="21"/>
          <w:szCs w:val="21"/>
          <w:lang w:bidi="ru-RU"/>
        </w:rPr>
        <w:outlineLvl w:val="0"/>
      </w:pP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</w:p>
    <w:p>
      <w:pPr>
        <w:pStyle w:val="824"/>
        <w:numPr>
          <w:ilvl w:val="0"/>
          <w:numId w:val="0"/>
        </w:numPr>
        <w:ind w:left="0" w:right="40" w:firstLine="0"/>
        <w:jc w:val="center"/>
        <w:keepLines/>
        <w:keepNext/>
        <w:spacing w:line="240" w:lineRule="auto"/>
        <w:widowControl w:val="off"/>
        <w:rPr>
          <w:b/>
          <w:bCs/>
          <w:sz w:val="21"/>
          <w:szCs w:val="21"/>
          <w:lang w:bidi="ru-RU"/>
        </w:rPr>
        <w:outlineLvl w:val="0"/>
      </w:pPr>
      <w:r>
        <w:rPr>
          <w:b/>
          <w:bCs/>
          <w:sz w:val="21"/>
          <w:szCs w:val="21"/>
          <w:lang w:bidi="ru-RU"/>
        </w:rPr>
        <w:t xml:space="preserve">Ключевые показатели эффективности антимонопольного комплаенса </w:t>
      </w: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</w:p>
    <w:p>
      <w:pPr>
        <w:pStyle w:val="824"/>
        <w:numPr>
          <w:ilvl w:val="0"/>
          <w:numId w:val="0"/>
        </w:numPr>
        <w:ind w:left="0" w:right="40" w:firstLine="0"/>
        <w:jc w:val="center"/>
        <w:keepLines/>
        <w:keepNext/>
        <w:spacing w:line="240" w:lineRule="auto"/>
        <w:widowControl w:val="off"/>
        <w:rPr>
          <w:b/>
          <w:bCs/>
          <w:sz w:val="21"/>
          <w:szCs w:val="21"/>
          <w:lang w:bidi="ru-RU"/>
        </w:rPr>
        <w:outlineLvl w:val="0"/>
      </w:pPr>
      <w:r>
        <w:rPr>
          <w:b/>
          <w:bCs/>
          <w:sz w:val="21"/>
          <w:szCs w:val="21"/>
          <w:lang w:bidi="ru-RU"/>
        </w:rPr>
        <w:t xml:space="preserve">Министерства промышленности и торговли Удмуртской Республики </w:t>
      </w:r>
      <w:r>
        <w:rPr>
          <w:b/>
          <w:bCs/>
          <w:sz w:val="21"/>
          <w:szCs w:val="21"/>
          <w:shd w:val="clear" w:color="auto" w:fill="ffffff"/>
          <w:lang w:bidi="ru-RU"/>
        </w:rPr>
        <w:t xml:space="preserve">(далее – Министерство)</w:t>
      </w:r>
      <w:r>
        <w:rPr>
          <w:b/>
          <w:bCs/>
          <w:sz w:val="21"/>
          <w:szCs w:val="21"/>
          <w:lang w:bidi="ru-RU"/>
        </w:rPr>
        <w:t xml:space="preserve"> на отчетный год</w:t>
      </w:r>
      <w:bookmarkEnd w:id="3"/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</w:p>
    <w:p>
      <w:pPr>
        <w:pStyle w:val="824"/>
        <w:numPr>
          <w:ilvl w:val="0"/>
          <w:numId w:val="0"/>
        </w:numPr>
        <w:ind w:left="0" w:right="40" w:firstLine="0"/>
        <w:jc w:val="center"/>
        <w:keepLines/>
        <w:keepNext/>
        <w:spacing w:line="240" w:lineRule="auto"/>
        <w:widowControl w:val="off"/>
        <w:rPr>
          <w:b/>
          <w:bCs/>
          <w:sz w:val="21"/>
          <w:szCs w:val="21"/>
          <w:lang w:bidi="ru-RU"/>
        </w:rPr>
        <w:outlineLvl w:val="0"/>
      </w:pP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</w:p>
    <w:tbl>
      <w:tblPr>
        <w:tblW w:w="14235" w:type="dxa"/>
        <w:tblInd w:w="0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000" w:firstRow="0" w:lastRow="0" w:firstColumn="0" w:lastColumn="0" w:noHBand="0" w:noVBand="0"/>
      </w:tblPr>
      <w:tblGrid>
        <w:gridCol w:w="569"/>
        <w:gridCol w:w="5258"/>
        <w:gridCol w:w="6877"/>
        <w:gridCol w:w="1530"/>
      </w:tblGrid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before="0" w:after="120" w:line="220" w:lineRule="exact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№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line="220" w:lineRule="exact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Наименование ключевого показателя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line="277" w:lineRule="exact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Определение значения ключевого показателя (балл)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vAlign w:val="center"/>
            <w:textDirection w:val="lrTb"/>
            <w:noWrap w:val="false"/>
          </w:tcPr>
          <w:p>
            <w:pPr>
              <w:pStyle w:val="824"/>
              <w:jc w:val="center"/>
              <w:spacing w:line="274" w:lineRule="exact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Фактическое значение ключевого показателя (балл)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1.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Наличие утвержденного правового акта Министерства промышленности и торговли Удмуртской Республики об антимонопольном комплаенсе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4"/>
              </w:numPr>
              <w:contextualSpacing/>
              <w:spacing w:before="0" w:after="0"/>
              <w:widowControl w:val="off"/>
              <w:tabs>
                <w:tab w:val="left" w:pos="162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правой акт не принят;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numPr>
                <w:ilvl w:val="0"/>
                <w:numId w:val="14"/>
              </w:numPr>
              <w:widowControl w:val="off"/>
              <w:tabs>
                <w:tab w:val="left" w:pos="151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правой акт принят;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numPr>
                <w:ilvl w:val="0"/>
                <w:numId w:val="14"/>
              </w:numPr>
              <w:widowControl w:val="off"/>
              <w:tabs>
                <w:tab w:val="left" w:pos="295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в отчетном периоде в правовой акт вносились изменения, направленные на совершенствование системы антимонопольного комплаенса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2.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Определение уполномоченных подразделений (должностных лиц)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5"/>
              </w:numPr>
              <w:widowControl w:val="off"/>
              <w:tabs>
                <w:tab w:val="left" w:pos="396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уполномоченные подразделения не определены;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numPr>
                <w:ilvl w:val="0"/>
                <w:numId w:val="15"/>
              </w:numPr>
              <w:widowControl w:val="off"/>
              <w:tabs>
                <w:tab w:val="clear" w:pos="708" w:leader="none"/>
                <w:tab w:val="left" w:pos="774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уполномоченные подразделения определены;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numPr>
                <w:ilvl w:val="0"/>
                <w:numId w:val="15"/>
              </w:numPr>
              <w:widowControl w:val="off"/>
              <w:tabs>
                <w:tab w:val="clear" w:pos="708" w:leader="none"/>
                <w:tab w:val="left" w:pos="774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уполномоченные подразделения определены и ведут активную работу по профилактике и предупреждению нарушений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3.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Утверждение карты комплаенс-рисков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6"/>
              </w:numPr>
              <w:widowControl w:val="off"/>
              <w:tabs>
                <w:tab w:val="left" w:pos="166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карта не утверждена;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numPr>
                <w:ilvl w:val="0"/>
                <w:numId w:val="16"/>
              </w:numPr>
              <w:widowControl w:val="off"/>
              <w:tabs>
                <w:tab w:val="left" w:pos="144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карта утверждена;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numPr>
                <w:ilvl w:val="0"/>
                <w:numId w:val="16"/>
              </w:numPr>
              <w:widowControl w:val="off"/>
              <w:tabs>
                <w:tab w:val="left" w:pos="166" w:leader="none"/>
                <w:tab w:val="clear" w:pos="708" w:leader="non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карта рисков актуализируется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b/>
                <w:sz w:val="21"/>
                <w:szCs w:val="21"/>
                <w:lang w:bidi="ru-RU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4.</w:t>
            </w:r>
            <w:r>
              <w:rPr>
                <w:b/>
                <w:sz w:val="21"/>
                <w:szCs w:val="21"/>
                <w:lang w:bidi="ru-RU"/>
              </w:rPr>
            </w:r>
            <w:r>
              <w:rPr>
                <w:b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за предшествующие 3 года)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widowControl w:val="off"/>
              <w:rPr>
                <w:sz w:val="21"/>
                <w:szCs w:val="21"/>
                <w:lang w:bidi="ru-RU"/>
              </w:rPr>
            </w:pP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widowControl w:val="off"/>
              <w:tabs>
                <w:tab w:val="clear" w:pos="708" w:leader="none"/>
                <w:tab w:val="left" w:pos="4871" w:leader="underscore"/>
              </w:tabs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0 – работа по выявлению рисков не 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проводится;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widowControl w:val="off"/>
              <w:rPr>
                <w:sz w:val="21"/>
                <w:szCs w:val="21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1 – риски выявлены только при внедрении комплаенса;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  <w:p>
            <w:pPr>
              <w:pStyle w:val="824"/>
              <w:widowControl w:val="off"/>
              <w:rPr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2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–</w:t>
            </w: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риски выявляются на постоянной основе, анализируется вероятность их возникновения</w:t>
            </w:r>
            <w:r>
              <w:rPr>
                <w:sz w:val="21"/>
                <w:szCs w:val="21"/>
                <w:lang w:bidi="ru-RU"/>
              </w:rPr>
            </w:r>
            <w:r>
              <w:rPr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5.</w:t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Мониторинг и анализ практики применения антимонопольного законодательства в Министерстве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7"/>
              </w:numPr>
              <w:widowControl w:val="off"/>
              <w:tabs>
                <w:tab w:val="left" w:pos="169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мониторинг и анализ не проводится;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17"/>
              </w:numPr>
              <w:widowControl w:val="off"/>
              <w:tabs>
                <w:tab w:val="left" w:pos="220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мониторинг и анализ проводился только при внедрении комплаенса;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2– мониторинг и анализ проводится на постоянной основе, анализируется вероятность их возникновения</w:t>
            </w: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6.</w:t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Утверждение плана мероприятий («дорожной карты») по снижению комплаенс–рисков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0 – план мероприятий не утвержден;</w:t>
            </w: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1– план мероприятий утвержден;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2 – план мероприятий актуализируется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7</w:t>
            </w: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.</w:t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Информирование министра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widowControl w:val="off"/>
              <w:tabs>
                <w:tab w:val="left" w:pos="169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внутренние документы не анализируются;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18"/>
              </w:numPr>
              <w:widowControl w:val="off"/>
              <w:tabs>
                <w:tab w:val="left" w:pos="270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внутренние документы анализируются, информация доводится до министра;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18"/>
              </w:numPr>
              <w:widowControl w:val="off"/>
              <w:tabs>
                <w:tab w:val="left" w:pos="277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внутренние документы анализируются, информация доводится как до министра, так и до сотрудников Министерства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8.</w:t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Принятие мер при поступлении информации о конфликте интересов в деятельности служащих и структурных подразделений Министерства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9"/>
              </w:numPr>
              <w:widowControl w:val="off"/>
              <w:tabs>
                <w:tab w:val="left" w:pos="385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при поступлении информации о конфликте интересов, служебные проверки не проводятся;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19"/>
              </w:numPr>
              <w:widowControl w:val="off"/>
              <w:tabs>
                <w:tab w:val="left" w:pos="385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при поступлении информации о конфликте интересов, служебные проверки проводятся;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19"/>
              </w:numPr>
              <w:widowControl w:val="off"/>
              <w:tabs>
                <w:tab w:val="left" w:pos="407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при поступлении информации о конфликте интересов,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служебные проверки проводятся, разрабатываются предложения по устранению нарушений, информация доводится до сотрудников Министерства; либо информация о конфликте интересов не поступала, но проводится работа по профилактике антикоррупционных правонарушений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9.</w:t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Доклад об антимонопольном комплаенсе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widowControl w:val="off"/>
              <w:tabs>
                <w:tab w:val="left" w:pos="166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доклад не подготовлен;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20"/>
              </w:numPr>
              <w:widowControl w:val="off"/>
              <w:tabs>
                <w:tab w:val="left" w:pos="140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доклад подписан министром;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20"/>
              </w:numPr>
              <w:widowControl w:val="off"/>
              <w:tabs>
                <w:tab w:val="left" w:pos="202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доклад подписан министром и утвержден коллегиальным органом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pStyle w:val="824"/>
              <w:jc w:val="center"/>
              <w:widowControl w:val="off"/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10.</w:t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b/>
                <w:color w:val="000000"/>
                <w:sz w:val="21"/>
                <w:szCs w:val="21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8" w:type="dxa"/>
            <w:textDirection w:val="lrTb"/>
            <w:noWrap w:val="false"/>
          </w:tcPr>
          <w:p>
            <w:pPr>
              <w:pStyle w:val="824"/>
              <w:widowControl w:val="off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Снижение количества нарушений антимонопольного законодательства со стороны Министерства по сравнению с прошлым годом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7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1"/>
              </w:numPr>
              <w:widowControl w:val="off"/>
              <w:tabs>
                <w:tab w:val="left" w:pos="241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количество нарушений по сравнению с прошлым годом увеличилось, осталось на прежнем уровне;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21"/>
              </w:numPr>
              <w:widowControl w:val="off"/>
              <w:tabs>
                <w:tab w:val="left" w:pos="220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количество нарушений по сравнению с прошлым годом снизилось;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  <w:p>
            <w:pPr>
              <w:pStyle w:val="824"/>
              <w:numPr>
                <w:ilvl w:val="0"/>
                <w:numId w:val="21"/>
              </w:numPr>
              <w:widowControl w:val="off"/>
              <w:tabs>
                <w:tab w:val="left" w:pos="166" w:leader="none"/>
                <w:tab w:val="clear" w:pos="708" w:leader="none"/>
              </w:tabs>
              <w:rPr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–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нарушений в отчетном году не было</w:t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  <w:r>
              <w:rPr>
                <w:sz w:val="21"/>
                <w:szCs w:val="21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24"/>
              <w:widowControl w:val="off"/>
              <w:rPr>
                <w:rFonts w:eastAsia="Arial Unicode MS"/>
                <w:color w:val="000000"/>
                <w:sz w:val="21"/>
                <w:szCs w:val="21"/>
                <w:lang w:bidi="ru-RU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  <w:r>
              <w:rPr>
                <w:rFonts w:eastAsia="Arial Unicode MS"/>
                <w:color w:val="000000"/>
                <w:sz w:val="21"/>
                <w:szCs w:val="21"/>
                <w:lang w:bidi="ru-RU"/>
              </w:rPr>
            </w:r>
          </w:p>
        </w:tc>
      </w:tr>
    </w:tbl>
    <w:p>
      <w:pPr>
        <w:pStyle w:val="824"/>
        <w:numPr>
          <w:ilvl w:val="0"/>
          <w:numId w:val="0"/>
        </w:numPr>
        <w:ind w:left="0" w:firstLine="0"/>
        <w:jc w:val="both"/>
        <w:keepLines/>
        <w:keepNext/>
        <w:widowControl w:val="off"/>
        <w:rPr>
          <w:b/>
          <w:bCs/>
          <w:sz w:val="21"/>
          <w:szCs w:val="21"/>
          <w:lang w:bidi="ru-RU"/>
        </w:rPr>
        <w:outlineLvl w:val="0"/>
      </w:pP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</w:p>
    <w:p>
      <w:pPr>
        <w:pStyle w:val="824"/>
        <w:numPr>
          <w:ilvl w:val="0"/>
          <w:numId w:val="0"/>
        </w:numPr>
        <w:ind w:left="0" w:firstLine="0"/>
        <w:jc w:val="both"/>
        <w:keepLines/>
        <w:keepNext/>
        <w:widowControl w:val="off"/>
        <w:rPr>
          <w:b/>
          <w:bCs/>
          <w:sz w:val="21"/>
          <w:szCs w:val="21"/>
          <w:lang w:bidi="ru-RU"/>
        </w:rPr>
        <w:outlineLvl w:val="0"/>
      </w:pPr>
      <w:r>
        <w:rPr>
          <w:b/>
          <w:bCs/>
          <w:sz w:val="21"/>
          <w:szCs w:val="21"/>
          <w:lang w:bidi="ru-RU"/>
        </w:rPr>
        <w:t xml:space="preserve">Механизм оценки эффективности антимонопольного комплаенса Министерства:</w:t>
      </w:r>
      <w:r>
        <w:rPr>
          <w:b/>
          <w:bCs/>
          <w:sz w:val="21"/>
          <w:szCs w:val="21"/>
          <w:lang w:bidi="ru-RU"/>
        </w:rPr>
      </w:r>
      <w:r>
        <w:rPr>
          <w:b/>
          <w:bCs/>
          <w:sz w:val="21"/>
          <w:szCs w:val="21"/>
          <w:lang w:bidi="ru-RU"/>
        </w:rPr>
      </w:r>
    </w:p>
    <w:p>
      <w:pPr>
        <w:pStyle w:val="824"/>
        <w:jc w:val="both"/>
        <w:widowControl w:val="off"/>
        <w:rPr>
          <w:sz w:val="21"/>
          <w:szCs w:val="21"/>
          <w:lang w:bidi="ru-RU"/>
        </w:rPr>
      </w:pPr>
      <w:r>
        <w:rPr>
          <w:sz w:val="21"/>
          <w:szCs w:val="21"/>
          <w:lang w:bidi="ru-RU"/>
        </w:rPr>
        <w:t xml:space="preserve">высокий уровень эффективности антимонопольного комплаенса – от 14 до 20 баллов; </w:t>
      </w:r>
      <w:r>
        <w:rPr>
          <w:sz w:val="21"/>
          <w:szCs w:val="21"/>
          <w:lang w:bidi="ru-RU"/>
        </w:rPr>
      </w:r>
      <w:r>
        <w:rPr>
          <w:sz w:val="21"/>
          <w:szCs w:val="21"/>
          <w:lang w:bidi="ru-RU"/>
        </w:rPr>
      </w:r>
    </w:p>
    <w:p>
      <w:pPr>
        <w:pStyle w:val="824"/>
        <w:jc w:val="both"/>
        <w:widowControl w:val="off"/>
        <w:rPr>
          <w:sz w:val="21"/>
          <w:szCs w:val="21"/>
          <w:lang w:bidi="ru-RU"/>
        </w:rPr>
      </w:pPr>
      <w:r>
        <w:rPr>
          <w:sz w:val="21"/>
          <w:szCs w:val="21"/>
          <w:lang w:bidi="ru-RU"/>
        </w:rPr>
        <w:t xml:space="preserve">средний уровень эффективности антимонопольного комплаенса – от 9 до 14 баллов; </w:t>
      </w:r>
      <w:r>
        <w:rPr>
          <w:sz w:val="21"/>
          <w:szCs w:val="21"/>
          <w:lang w:bidi="ru-RU"/>
        </w:rPr>
      </w:r>
      <w:r>
        <w:rPr>
          <w:sz w:val="21"/>
          <w:szCs w:val="21"/>
          <w:lang w:bidi="ru-RU"/>
        </w:rPr>
      </w:r>
    </w:p>
    <w:p>
      <w:pPr>
        <w:pStyle w:val="824"/>
        <w:jc w:val="both"/>
        <w:widowControl w:val="off"/>
        <w:rPr>
          <w:sz w:val="21"/>
          <w:szCs w:val="21"/>
          <w:lang w:bidi="ru-RU"/>
        </w:rPr>
      </w:pPr>
      <w:r>
        <w:rPr>
          <w:sz w:val="21"/>
          <w:szCs w:val="21"/>
          <w:lang w:bidi="ru-RU"/>
        </w:rPr>
        <w:t xml:space="preserve">низкий уровень эффективности антимонопольного комплаенса – менее 9 баллов.</w:t>
      </w:r>
      <w:r>
        <w:rPr>
          <w:sz w:val="21"/>
          <w:szCs w:val="21"/>
          <w:lang w:bidi="ru-RU"/>
        </w:rPr>
      </w:r>
      <w:r>
        <w:rPr>
          <w:sz w:val="21"/>
          <w:szCs w:val="21"/>
          <w:lang w:bidi="ru-RU"/>
        </w:rPr>
      </w:r>
    </w:p>
    <w:p>
      <w:pPr>
        <w:pStyle w:val="824"/>
        <w:jc w:val="center"/>
        <w:widowControl w:val="off"/>
        <w:rPr>
          <w:sz w:val="21"/>
          <w:szCs w:val="21"/>
          <w:lang w:bidi="ru-RU"/>
        </w:rPr>
      </w:pPr>
      <w:r>
        <w:rPr>
          <w:sz w:val="21"/>
          <w:szCs w:val="21"/>
          <w:lang w:bidi="ru-RU"/>
        </w:rPr>
        <w:t xml:space="preserve">____________________</w:t>
      </w:r>
      <w:r>
        <w:rPr>
          <w:sz w:val="21"/>
          <w:szCs w:val="21"/>
          <w:lang w:bidi="ru-RU"/>
        </w:rPr>
      </w:r>
      <w:r>
        <w:rPr>
          <w:sz w:val="21"/>
          <w:szCs w:val="21"/>
          <w:lang w:bidi="ru-RU"/>
        </w:rPr>
      </w:r>
    </w:p>
    <w:p>
      <w:pPr>
        <w:pStyle w:val="824"/>
        <w:ind w:left="9639" w:right="-456" w:firstLine="540"/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p>
      <w:pPr>
        <w:pStyle w:val="824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24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6838" w:h="11906" w:orient="landscape"/>
      <w:pgMar w:top="993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Droid Sans Fallback">
    <w:panose1 w:val="020B0502000000000001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25">
    <w:name w:val="Heading 1"/>
    <w:basedOn w:val="824"/>
    <w:qFormat/>
    <w:pPr>
      <w:keepNext/>
      <w:outlineLvl w:val="0"/>
    </w:pPr>
    <w:rPr>
      <w:szCs w:val="20"/>
    </w:rPr>
  </w:style>
  <w:style w:type="paragraph" w:styleId="826">
    <w:name w:val="Heading 2"/>
    <w:basedOn w:val="824"/>
    <w:qFormat/>
    <w:pPr>
      <w:jc w:val="center"/>
      <w:keepNext/>
      <w:outlineLvl w:val="1"/>
    </w:pPr>
    <w:rPr>
      <w:b/>
      <w:szCs w:val="20"/>
    </w:rPr>
  </w:style>
  <w:style w:type="paragraph" w:styleId="827">
    <w:name w:val="Heading 3"/>
    <w:basedOn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8">
    <w:name w:val="Heading 4"/>
    <w:basedOn w:val="8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9">
    <w:name w:val="Heading 5"/>
    <w:basedOn w:val="824"/>
    <w:qFormat/>
    <w:pPr>
      <w:ind w:right="-108"/>
      <w:jc w:val="both"/>
      <w:keepNext/>
      <w:outlineLvl w:val="4"/>
    </w:pPr>
    <w:rPr>
      <w:b/>
      <w:sz w:val="16"/>
      <w:szCs w:val="20"/>
      <w:lang w:val="en-US"/>
    </w:rPr>
  </w:style>
  <w:style w:type="paragraph" w:styleId="830">
    <w:name w:val="Heading 6"/>
    <w:basedOn w:val="824"/>
    <w:qFormat/>
    <w:pPr>
      <w:jc w:val="center"/>
      <w:keepNext/>
      <w:outlineLvl w:val="5"/>
    </w:pPr>
    <w:rPr>
      <w:b/>
      <w:color w:val="000000"/>
      <w:szCs w:val="20"/>
    </w:rPr>
  </w:style>
  <w:style w:type="paragraph" w:styleId="831">
    <w:name w:val="Heading 7"/>
    <w:basedOn w:val="8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2">
    <w:name w:val="Heading 8"/>
    <w:basedOn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3">
    <w:name w:val="Heading 9"/>
    <w:basedOn w:val="824"/>
    <w:qFormat/>
    <w:pPr>
      <w:jc w:val="both"/>
      <w:keepNext/>
      <w:outlineLvl w:val="8"/>
    </w:pPr>
    <w:rPr>
      <w:b/>
      <w:i/>
      <w:sz w:val="20"/>
      <w:szCs w:val="20"/>
    </w:rPr>
  </w:style>
  <w:style w:type="character" w:styleId="834">
    <w:name w:val="Heading 1 Char"/>
    <w:basedOn w:val="856"/>
    <w:uiPriority w:val="9"/>
    <w:qFormat/>
    <w:rPr>
      <w:rFonts w:ascii="Arial" w:hAnsi="Arial" w:eastAsia="Arial" w:cs="Arial"/>
      <w:sz w:val="40"/>
      <w:szCs w:val="40"/>
    </w:rPr>
  </w:style>
  <w:style w:type="character" w:styleId="835">
    <w:name w:val="Heading 2 Char"/>
    <w:basedOn w:val="856"/>
    <w:uiPriority w:val="9"/>
    <w:qFormat/>
    <w:rPr>
      <w:rFonts w:ascii="Arial" w:hAnsi="Arial" w:eastAsia="Arial" w:cs="Arial"/>
      <w:sz w:val="34"/>
    </w:rPr>
  </w:style>
  <w:style w:type="character" w:styleId="836">
    <w:name w:val="Heading 3 Char"/>
    <w:basedOn w:val="856"/>
    <w:uiPriority w:val="9"/>
    <w:qFormat/>
    <w:rPr>
      <w:rFonts w:ascii="Arial" w:hAnsi="Arial" w:eastAsia="Arial" w:cs="Arial"/>
      <w:sz w:val="30"/>
      <w:szCs w:val="30"/>
    </w:rPr>
  </w:style>
  <w:style w:type="character" w:styleId="837">
    <w:name w:val="Heading 4 Char"/>
    <w:basedOn w:val="8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8">
    <w:name w:val="Heading 5 Char"/>
    <w:basedOn w:val="8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9">
    <w:name w:val="Heading 6 Char"/>
    <w:basedOn w:val="8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40">
    <w:name w:val="Heading 7 Char"/>
    <w:basedOn w:val="85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8 Char"/>
    <w:basedOn w:val="85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2">
    <w:name w:val="Heading 9 Char"/>
    <w:basedOn w:val="85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3">
    <w:name w:val="Title Char"/>
    <w:basedOn w:val="856"/>
    <w:uiPriority w:val="10"/>
    <w:qFormat/>
    <w:rPr>
      <w:sz w:val="48"/>
      <w:szCs w:val="48"/>
    </w:rPr>
  </w:style>
  <w:style w:type="character" w:styleId="844">
    <w:name w:val="Subtitle Char"/>
    <w:basedOn w:val="856"/>
    <w:uiPriority w:val="11"/>
    <w:qFormat/>
    <w:rPr>
      <w:sz w:val="24"/>
      <w:szCs w:val="24"/>
    </w:rPr>
  </w:style>
  <w:style w:type="character" w:styleId="845">
    <w:name w:val="Quote Char"/>
    <w:uiPriority w:val="29"/>
    <w:qFormat/>
    <w:rPr>
      <w:i/>
    </w:rPr>
  </w:style>
  <w:style w:type="character" w:styleId="846">
    <w:name w:val="Intense Quote Char"/>
    <w:uiPriority w:val="30"/>
    <w:qFormat/>
    <w:rPr>
      <w:i/>
    </w:rPr>
  </w:style>
  <w:style w:type="character" w:styleId="847">
    <w:name w:val="Header Char"/>
    <w:basedOn w:val="856"/>
    <w:uiPriority w:val="99"/>
    <w:qFormat/>
  </w:style>
  <w:style w:type="character" w:styleId="848">
    <w:name w:val="Footer Char"/>
    <w:basedOn w:val="856"/>
    <w:uiPriority w:val="99"/>
    <w:qFormat/>
  </w:style>
  <w:style w:type="character" w:styleId="849">
    <w:name w:val="Caption Char"/>
    <w:uiPriority w:val="99"/>
    <w:qFormat/>
  </w:style>
  <w:style w:type="character" w:styleId="850">
    <w:name w:val="Footnote Text Char"/>
    <w:uiPriority w:val="99"/>
    <w:qFormat/>
    <w:rPr>
      <w:sz w:val="18"/>
    </w:rPr>
  </w:style>
  <w:style w:type="character" w:styleId="851">
    <w:name w:val="Символ сноски"/>
    <w:uiPriority w:val="99"/>
    <w:unhideWhenUsed/>
    <w:qFormat/>
    <w:rPr>
      <w:vertAlign w:val="superscript"/>
    </w:rPr>
  </w:style>
  <w:style w:type="character" w:styleId="852">
    <w:name w:val="footnote reference"/>
    <w:rPr>
      <w:vertAlign w:val="superscript"/>
    </w:rPr>
  </w:style>
  <w:style w:type="character" w:styleId="853">
    <w:name w:val="Endnote Text Char"/>
    <w:uiPriority w:val="99"/>
    <w:qFormat/>
    <w:rPr>
      <w:sz w:val="20"/>
    </w:rPr>
  </w:style>
  <w:style w:type="character" w:styleId="85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5">
    <w:name w:val="endnote reference"/>
    <w:rPr>
      <w:vertAlign w:val="superscript"/>
    </w:rPr>
  </w:style>
  <w:style w:type="character" w:styleId="856" w:default="1">
    <w:name w:val="Default Paragraph Font"/>
    <w:uiPriority w:val="1"/>
    <w:semiHidden/>
    <w:unhideWhenUsed/>
    <w:qFormat/>
  </w:style>
  <w:style w:type="character" w:styleId="857">
    <w:name w:val="Hyperlink"/>
    <w:rPr>
      <w:color w:val="0000ff"/>
      <w:u w:val="single"/>
    </w:rPr>
  </w:style>
  <w:style w:type="character" w:styleId="858" w:customStyle="1">
    <w:name w:val="Заголовок 1 Знак"/>
    <w:qFormat/>
    <w:rPr>
      <w:sz w:val="24"/>
    </w:rPr>
  </w:style>
  <w:style w:type="character" w:styleId="859" w:customStyle="1">
    <w:name w:val="Заголовок 5 Знак"/>
    <w:qFormat/>
    <w:rPr>
      <w:b/>
      <w:sz w:val="16"/>
      <w:lang w:val="en-US"/>
    </w:rPr>
  </w:style>
  <w:style w:type="character" w:styleId="860" w:customStyle="1">
    <w:name w:val="Заголовок 9 Знак"/>
    <w:qFormat/>
    <w:rPr>
      <w:b/>
      <w:i/>
    </w:rPr>
  </w:style>
  <w:style w:type="character" w:styleId="861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862" w:customStyle="1">
    <w:name w:val="Основной текст с отступом 2 Знак"/>
    <w:qFormat/>
    <w:rPr>
      <w:sz w:val="28"/>
    </w:rPr>
  </w:style>
  <w:style w:type="character" w:styleId="863" w:customStyle="1">
    <w:name w:val="Основной текст 3 Знак"/>
    <w:qFormat/>
    <w:rPr>
      <w:sz w:val="28"/>
    </w:rPr>
  </w:style>
  <w:style w:type="character" w:styleId="864" w:customStyle="1">
    <w:name w:val="Основной текст с отступом Знак"/>
    <w:qFormat/>
    <w:rPr>
      <w:sz w:val="24"/>
    </w:rPr>
  </w:style>
  <w:style w:type="character" w:styleId="865" w:customStyle="1">
    <w:name w:val="Основной текст Знак"/>
    <w:qFormat/>
    <w:rPr>
      <w:sz w:val="24"/>
    </w:rPr>
  </w:style>
  <w:style w:type="character" w:styleId="866" w:customStyle="1">
    <w:name w:val="dep_name"/>
    <w:qFormat/>
  </w:style>
  <w:style w:type="character" w:styleId="867" w:customStyle="1">
    <w:name w:val="Верхний колонтитул Знак"/>
    <w:qFormat/>
    <w:rPr>
      <w:sz w:val="24"/>
      <w:szCs w:val="24"/>
    </w:rPr>
  </w:style>
  <w:style w:type="character" w:styleId="868" w:customStyle="1">
    <w:name w:val="Нижний колонтитул Знак"/>
    <w:uiPriority w:val="99"/>
    <w:qFormat/>
    <w:rPr>
      <w:sz w:val="24"/>
      <w:szCs w:val="24"/>
    </w:rPr>
  </w:style>
  <w:style w:type="character" w:styleId="869" w:customStyle="1">
    <w:name w:val="Основной текст (2) + 11 pt"/>
    <w:basedOn w:val="85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paragraph" w:styleId="870">
    <w:name w:val="Заголовок"/>
    <w:basedOn w:val="824"/>
    <w:next w:val="87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71">
    <w:name w:val="Body Text"/>
    <w:basedOn w:val="824"/>
    <w:pPr>
      <w:jc w:val="both"/>
    </w:pPr>
    <w:rPr>
      <w:szCs w:val="20"/>
    </w:rPr>
  </w:style>
  <w:style w:type="paragraph" w:styleId="872">
    <w:name w:val="List"/>
    <w:basedOn w:val="871"/>
    <w:rPr>
      <w:rFonts w:cs="Lohit Devanagari"/>
    </w:rPr>
  </w:style>
  <w:style w:type="paragraph" w:styleId="873">
    <w:name w:val="Caption"/>
    <w:basedOn w:val="824"/>
    <w:link w:val="84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74">
    <w:name w:val="Указатель"/>
    <w:basedOn w:val="824"/>
    <w:qFormat/>
    <w:pPr>
      <w:suppressLineNumbers/>
    </w:pPr>
    <w:rPr>
      <w:rFonts w:cs="Lohit Devanagari"/>
    </w:rPr>
  </w:style>
  <w:style w:type="paragraph" w:styleId="87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876">
    <w:name w:val="Title"/>
    <w:basedOn w:val="82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7">
    <w:name w:val="Subtitle"/>
    <w:basedOn w:val="824"/>
    <w:uiPriority w:val="11"/>
    <w:qFormat/>
    <w:pPr>
      <w:spacing w:before="200" w:after="200"/>
    </w:pPr>
    <w:rPr>
      <w:sz w:val="24"/>
      <w:szCs w:val="24"/>
    </w:rPr>
  </w:style>
  <w:style w:type="paragraph" w:styleId="878">
    <w:name w:val="Quote"/>
    <w:basedOn w:val="824"/>
    <w:uiPriority w:val="29"/>
    <w:qFormat/>
    <w:pPr>
      <w:ind w:left="720" w:right="720"/>
    </w:pPr>
    <w:rPr>
      <w:i/>
    </w:rPr>
  </w:style>
  <w:style w:type="paragraph" w:styleId="879">
    <w:name w:val="Intense Quote"/>
    <w:basedOn w:val="824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80">
    <w:name w:val="footnote text"/>
    <w:basedOn w:val="82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81">
    <w:name w:val="endnote text"/>
    <w:basedOn w:val="82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2">
    <w:name w:val="toc 1"/>
    <w:basedOn w:val="824"/>
    <w:uiPriority w:val="39"/>
    <w:unhideWhenUsed/>
    <w:pPr>
      <w:ind w:left="0" w:right="0" w:firstLine="0"/>
      <w:spacing w:before="0" w:after="57"/>
    </w:pPr>
  </w:style>
  <w:style w:type="paragraph" w:styleId="883">
    <w:name w:val="toc 2"/>
    <w:basedOn w:val="824"/>
    <w:uiPriority w:val="39"/>
    <w:unhideWhenUsed/>
    <w:pPr>
      <w:ind w:left="283" w:right="0" w:firstLine="0"/>
      <w:spacing w:before="0" w:after="57"/>
    </w:pPr>
  </w:style>
  <w:style w:type="paragraph" w:styleId="884">
    <w:name w:val="toc 3"/>
    <w:basedOn w:val="824"/>
    <w:uiPriority w:val="39"/>
    <w:unhideWhenUsed/>
    <w:pPr>
      <w:ind w:left="567" w:right="0" w:firstLine="0"/>
      <w:spacing w:before="0" w:after="57"/>
    </w:pPr>
  </w:style>
  <w:style w:type="paragraph" w:styleId="885">
    <w:name w:val="toc 4"/>
    <w:basedOn w:val="824"/>
    <w:uiPriority w:val="39"/>
    <w:unhideWhenUsed/>
    <w:pPr>
      <w:ind w:left="850" w:right="0" w:firstLine="0"/>
      <w:spacing w:before="0" w:after="57"/>
    </w:pPr>
  </w:style>
  <w:style w:type="paragraph" w:styleId="886">
    <w:name w:val="toc 5"/>
    <w:basedOn w:val="824"/>
    <w:uiPriority w:val="39"/>
    <w:unhideWhenUsed/>
    <w:pPr>
      <w:ind w:left="1134" w:right="0" w:firstLine="0"/>
      <w:spacing w:before="0" w:after="57"/>
    </w:pPr>
  </w:style>
  <w:style w:type="paragraph" w:styleId="887">
    <w:name w:val="toc 6"/>
    <w:basedOn w:val="824"/>
    <w:uiPriority w:val="39"/>
    <w:unhideWhenUsed/>
    <w:pPr>
      <w:ind w:left="1417" w:right="0" w:firstLine="0"/>
      <w:spacing w:before="0" w:after="57"/>
    </w:pPr>
  </w:style>
  <w:style w:type="paragraph" w:styleId="888">
    <w:name w:val="toc 7"/>
    <w:basedOn w:val="824"/>
    <w:uiPriority w:val="39"/>
    <w:unhideWhenUsed/>
    <w:pPr>
      <w:ind w:left="1701" w:right="0" w:firstLine="0"/>
      <w:spacing w:before="0" w:after="57"/>
    </w:pPr>
  </w:style>
  <w:style w:type="paragraph" w:styleId="889">
    <w:name w:val="toc 8"/>
    <w:basedOn w:val="824"/>
    <w:uiPriority w:val="39"/>
    <w:unhideWhenUsed/>
    <w:pPr>
      <w:ind w:left="1984" w:right="0" w:firstLine="0"/>
      <w:spacing w:before="0" w:after="57"/>
    </w:pPr>
  </w:style>
  <w:style w:type="paragraph" w:styleId="890">
    <w:name w:val="toc 9"/>
    <w:basedOn w:val="824"/>
    <w:uiPriority w:val="39"/>
    <w:unhideWhenUsed/>
    <w:pPr>
      <w:ind w:left="2268" w:right="0" w:firstLine="0"/>
      <w:spacing w:before="0" w:after="57"/>
    </w:pPr>
  </w:style>
  <w:style w:type="paragraph" w:styleId="891">
    <w:name w:val="Index Heading"/>
    <w:basedOn w:val="870"/>
  </w:style>
  <w:style w:type="paragraph" w:styleId="89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893">
    <w:name w:val="table of figures"/>
    <w:basedOn w:val="824"/>
    <w:uiPriority w:val="99"/>
    <w:unhideWhenUsed/>
    <w:pPr>
      <w:spacing w:before="0" w:after="0" w:afterAutospacing="0"/>
    </w:pPr>
  </w:style>
  <w:style w:type="paragraph" w:styleId="894">
    <w:name w:val="Balloon Text"/>
    <w:basedOn w:val="824"/>
    <w:uiPriority w:val="99"/>
    <w:semiHidden/>
    <w:unhideWhenUsed/>
    <w:qFormat/>
    <w:rPr>
      <w:rFonts w:ascii="Tahoma" w:hAnsi="Tahoma"/>
      <w:sz w:val="16"/>
      <w:szCs w:val="16"/>
    </w:rPr>
  </w:style>
  <w:style w:type="paragraph" w:styleId="895">
    <w:name w:val="Body Text Indent 2"/>
    <w:basedOn w:val="824"/>
    <w:qFormat/>
    <w:pPr>
      <w:ind w:firstLine="720"/>
      <w:jc w:val="both"/>
    </w:pPr>
    <w:rPr>
      <w:sz w:val="28"/>
      <w:szCs w:val="20"/>
    </w:rPr>
  </w:style>
  <w:style w:type="paragraph" w:styleId="896">
    <w:name w:val="Body Text 3"/>
    <w:basedOn w:val="824"/>
    <w:qFormat/>
    <w:pPr>
      <w:jc w:val="center"/>
    </w:pPr>
    <w:rPr>
      <w:sz w:val="28"/>
      <w:szCs w:val="20"/>
    </w:rPr>
  </w:style>
  <w:style w:type="paragraph" w:styleId="897">
    <w:name w:val="Body Text Indent"/>
    <w:basedOn w:val="824"/>
    <w:pPr>
      <w:ind w:left="2880" w:hanging="2880"/>
    </w:pPr>
    <w:rPr>
      <w:szCs w:val="20"/>
    </w:rPr>
  </w:style>
  <w:style w:type="paragraph" w:styleId="898">
    <w:name w:val="Колонтитул"/>
    <w:basedOn w:val="824"/>
    <w:qFormat/>
  </w:style>
  <w:style w:type="paragraph" w:styleId="899">
    <w:name w:val="Header"/>
    <w:basedOn w:val="824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00">
    <w:name w:val="Footer"/>
    <w:basedOn w:val="82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01" w:customStyle="1">
    <w:name w:val="Знак Знак Знак Знак Знак"/>
    <w:basedOn w:val="824"/>
    <w:qFormat/>
    <w:pPr>
      <w:jc w:val="center"/>
      <w:spacing w:before="0" w:after="160" w:line="240" w:lineRule="exact"/>
    </w:pPr>
    <w:rPr>
      <w:b/>
      <w:sz w:val="28"/>
      <w:szCs w:val="20"/>
      <w:lang w:val="en-US" w:eastAsia="en-US"/>
    </w:rPr>
  </w:style>
  <w:style w:type="paragraph" w:styleId="902">
    <w:name w:val="List Paragraph"/>
    <w:basedOn w:val="824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numbering" w:styleId="903" w:default="1">
    <w:name w:val="No List"/>
    <w:uiPriority w:val="99"/>
    <w:semiHidden/>
    <w:unhideWhenUsed/>
    <w:qFormat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6E2C-4E60-4DC2-A199-6382BBF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Минторг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ТОРГОВЛИ</dc:title>
  <dc:subject/>
  <dc:creator>kalabina</dc:creator>
  <dc:description/>
  <dc:language>ru-RU</dc:language>
  <cp:lastModifiedBy>stolovich_kr</cp:lastModifiedBy>
  <cp:revision>23</cp:revision>
  <dcterms:created xsi:type="dcterms:W3CDTF">2023-03-22T11:09:00Z</dcterms:created>
  <dcterms:modified xsi:type="dcterms:W3CDTF">2025-12-29T07:31:09Z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